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90" w:rsidRDefault="00DA5C90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DA5C90" w:rsidRDefault="00DA5C90" w:rsidP="00DA5C90">
      <w:pPr>
        <w:ind w:left="943" w:right="633"/>
        <w:jc w:val="center"/>
        <w:rPr>
          <w:b/>
          <w:sz w:val="24"/>
        </w:rPr>
      </w:pPr>
      <w:r>
        <w:rPr>
          <w:b/>
          <w:sz w:val="24"/>
        </w:rPr>
        <w:t>P</w:t>
      </w:r>
      <w:r>
        <w:rPr>
          <w:b/>
          <w:sz w:val="24"/>
        </w:rPr>
        <w:t>LANO DE TESTE DE QUEIMA</w:t>
      </w:r>
    </w:p>
    <w:p w:rsidR="00DA5C90" w:rsidRDefault="00DA5C90" w:rsidP="00DA5C90">
      <w:pPr>
        <w:pStyle w:val="Corpodetexto"/>
        <w:spacing w:before="11"/>
        <w:jc w:val="left"/>
        <w:rPr>
          <w:b/>
          <w:sz w:val="23"/>
        </w:rPr>
      </w:pPr>
    </w:p>
    <w:p w:rsidR="00DA5C90" w:rsidRDefault="00DA5C90" w:rsidP="00DA5C90">
      <w:pPr>
        <w:pStyle w:val="Corpodetexto"/>
      </w:pPr>
      <w:r>
        <w:t>O Plano de Teste de Queima deve abordar, no mínimo, os itens abaixo listados:</w:t>
      </w:r>
    </w:p>
    <w:p w:rsidR="00DA5C90" w:rsidRDefault="00DA5C90" w:rsidP="00DA5C90">
      <w:pPr>
        <w:pStyle w:val="Corpodetexto"/>
        <w:rPr>
          <w:sz w:val="22"/>
        </w:rPr>
      </w:pP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/>
        <w:contextualSpacing w:val="0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>Definição da data do</w:t>
      </w:r>
      <w:r>
        <w:rPr>
          <w:spacing w:val="-1"/>
          <w:sz w:val="24"/>
        </w:rPr>
        <w:t xml:space="preserve"> </w:t>
      </w:r>
      <w:r>
        <w:rPr>
          <w:sz w:val="24"/>
        </w:rPr>
        <w:t>Teste;</w:t>
      </w:r>
    </w:p>
    <w:p w:rsidR="00DA5C90" w:rsidRDefault="00DA5C90" w:rsidP="00DA5C90">
      <w:pPr>
        <w:pStyle w:val="PargrafodaLista"/>
        <w:tabs>
          <w:tab w:val="left" w:pos="713"/>
        </w:tabs>
        <w:spacing w:before="240"/>
        <w:ind w:left="0" w:right="223"/>
        <w:contextualSpacing w:val="0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Definição do(s) tipo(s) e quantidades de resíduos a serem processados, ressaltando cada categoria ou mistura de resíduos a ser</w:t>
      </w:r>
      <w:r>
        <w:rPr>
          <w:spacing w:val="-4"/>
          <w:sz w:val="24"/>
        </w:rPr>
        <w:t xml:space="preserve"> </w:t>
      </w:r>
      <w:r>
        <w:rPr>
          <w:sz w:val="24"/>
        </w:rPr>
        <w:t>testada;</w:t>
      </w:r>
    </w:p>
    <w:p w:rsidR="00DA5C90" w:rsidRDefault="00DA5C90" w:rsidP="00DA5C90">
      <w:pPr>
        <w:pStyle w:val="PargrafodaLista"/>
        <w:tabs>
          <w:tab w:val="left" w:pos="715"/>
        </w:tabs>
        <w:spacing w:before="240"/>
        <w:ind w:left="0" w:right="224"/>
        <w:contextualSpacing w:val="0"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>Cronograma das medições e testes programadas junto com as respectivas condições operacionais, abordando todos os poluentes limitados com exceção das dioxinas e furanos;</w:t>
      </w: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 w:right="923"/>
        <w:contextualSpacing w:val="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Detalhamento do procedimento para a avaliação do atendimento do incinerador às exigências técnicas e/ou aos parâmetros</w:t>
      </w:r>
      <w:r>
        <w:rPr>
          <w:sz w:val="24"/>
        </w:rPr>
        <w:t xml:space="preserve"> de condicionamento fixados pelo Instituto Água e Terra</w:t>
      </w:r>
      <w:r>
        <w:rPr>
          <w:sz w:val="24"/>
        </w:rPr>
        <w:t>, incluindo: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Sugestão do(s) PCOP a serem</w:t>
      </w:r>
      <w:r w:rsidRPr="00DA5C90">
        <w:rPr>
          <w:spacing w:val="-3"/>
          <w:sz w:val="24"/>
        </w:rPr>
        <w:t xml:space="preserve"> </w:t>
      </w:r>
      <w:r w:rsidRPr="00DA5C90">
        <w:rPr>
          <w:sz w:val="24"/>
        </w:rPr>
        <w:t>incinerados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Condições operacionais a serem obedecidas no</w:t>
      </w:r>
      <w:r w:rsidRPr="00DA5C90">
        <w:rPr>
          <w:spacing w:val="-4"/>
          <w:sz w:val="24"/>
        </w:rPr>
        <w:t xml:space="preserve"> </w:t>
      </w:r>
      <w:r w:rsidRPr="00DA5C90">
        <w:rPr>
          <w:sz w:val="24"/>
        </w:rPr>
        <w:t>teste;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Parâmetros a serem</w:t>
      </w:r>
      <w:r w:rsidRPr="00DA5C90">
        <w:rPr>
          <w:spacing w:val="-1"/>
          <w:sz w:val="24"/>
        </w:rPr>
        <w:t xml:space="preserve"> </w:t>
      </w:r>
      <w:r w:rsidRPr="00DA5C90">
        <w:rPr>
          <w:sz w:val="24"/>
        </w:rPr>
        <w:t>monitorados;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Freqüência das amostragens;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Métodos de</w:t>
      </w:r>
      <w:r w:rsidRPr="00DA5C90">
        <w:rPr>
          <w:spacing w:val="-1"/>
          <w:sz w:val="24"/>
        </w:rPr>
        <w:t xml:space="preserve"> </w:t>
      </w:r>
      <w:r w:rsidRPr="00DA5C90">
        <w:rPr>
          <w:sz w:val="24"/>
        </w:rPr>
        <w:t>análise;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Tipo de características dos</w:t>
      </w:r>
      <w:r w:rsidRPr="00DA5C90">
        <w:rPr>
          <w:spacing w:val="-34"/>
          <w:sz w:val="24"/>
        </w:rPr>
        <w:t xml:space="preserve"> </w:t>
      </w:r>
      <w:r w:rsidRPr="00DA5C90">
        <w:rPr>
          <w:sz w:val="24"/>
        </w:rPr>
        <w:t>amostradores;</w:t>
      </w:r>
    </w:p>
    <w:p w:rsidR="00DA5C90" w:rsidRPr="00DA5C90" w:rsidRDefault="00DA5C90" w:rsidP="00DA5C90">
      <w:pPr>
        <w:pStyle w:val="PargrafodaLista"/>
        <w:numPr>
          <w:ilvl w:val="0"/>
          <w:numId w:val="3"/>
        </w:numPr>
        <w:tabs>
          <w:tab w:val="left" w:pos="1434"/>
        </w:tabs>
        <w:spacing w:before="240"/>
        <w:jc w:val="both"/>
        <w:rPr>
          <w:sz w:val="24"/>
        </w:rPr>
      </w:pPr>
      <w:r w:rsidRPr="00DA5C90">
        <w:rPr>
          <w:sz w:val="24"/>
        </w:rPr>
        <w:t>Pontos e Formas de coletas de</w:t>
      </w:r>
      <w:r w:rsidRPr="00DA5C90">
        <w:rPr>
          <w:spacing w:val="-28"/>
          <w:sz w:val="24"/>
        </w:rPr>
        <w:t xml:space="preserve"> </w:t>
      </w:r>
      <w:r w:rsidRPr="00DA5C90">
        <w:rPr>
          <w:sz w:val="24"/>
        </w:rPr>
        <w:t>amostras.</w:t>
      </w: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 w:right="511"/>
        <w:contextualSpacing w:val="0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Detalhamento do procedimento para a determinação dos limites de intertravamento da alimentação em caso de queda de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z w:val="24"/>
          <w:vertAlign w:val="subscript"/>
        </w:rPr>
        <w:t>2;</w:t>
      </w: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 w:right="510"/>
        <w:contextualSpacing w:val="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Detalhamento do procedimento para a determinação dos limites de intertravamento da alimentação em caso de aumento de</w:t>
      </w:r>
      <w:r>
        <w:rPr>
          <w:spacing w:val="-2"/>
          <w:sz w:val="24"/>
        </w:rPr>
        <w:t xml:space="preserve"> </w:t>
      </w:r>
      <w:r>
        <w:rPr>
          <w:sz w:val="24"/>
        </w:rPr>
        <w:t>CO;</w:t>
      </w: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 w:right="509"/>
        <w:contextualSpacing w:val="0"/>
        <w:jc w:val="both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>Detalhamento do procedimento para a determinação dos limites de intertravamento da alimentação em caso de baixa temperatura de</w:t>
      </w:r>
      <w:r>
        <w:rPr>
          <w:spacing w:val="-2"/>
          <w:sz w:val="24"/>
        </w:rPr>
        <w:t xml:space="preserve"> </w:t>
      </w:r>
      <w:r>
        <w:rPr>
          <w:sz w:val="24"/>
        </w:rPr>
        <w:t>combustão;</w:t>
      </w:r>
    </w:p>
    <w:p w:rsidR="00DA5C90" w:rsidRDefault="00DA5C90" w:rsidP="00DA5C90">
      <w:pPr>
        <w:pStyle w:val="PargrafodaLista"/>
        <w:tabs>
          <w:tab w:val="left" w:pos="714"/>
        </w:tabs>
        <w:spacing w:before="240"/>
        <w:ind w:left="0"/>
        <w:contextualSpacing w:val="0"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 xml:space="preserve">Indicação do </w:t>
      </w:r>
      <w:r w:rsidRPr="00DA5C90">
        <w:rPr>
          <w:sz w:val="24"/>
        </w:rPr>
        <w:t>responsável técnico com o recolhimento da respecti</w:t>
      </w:r>
      <w:r w:rsidRPr="00DA5C90">
        <w:rPr>
          <w:sz w:val="24"/>
          <w:szCs w:val="24"/>
        </w:rPr>
        <w:t>va</w:t>
      </w:r>
      <w:r w:rsidRPr="00DA5C90">
        <w:rPr>
          <w:spacing w:val="-8"/>
          <w:sz w:val="24"/>
          <w:szCs w:val="24"/>
        </w:rPr>
        <w:t xml:space="preserve"> </w:t>
      </w:r>
      <w:r w:rsidRPr="00DA5C90">
        <w:rPr>
          <w:rStyle w:val="nfase"/>
          <w:bCs/>
          <w:i w:val="0"/>
          <w:iCs w:val="0"/>
          <w:sz w:val="24"/>
          <w:szCs w:val="24"/>
          <w:shd w:val="clear" w:color="auto" w:fill="FFFFFF"/>
        </w:rPr>
        <w:t>Anotação de Responsabilidade Técnica</w:t>
      </w:r>
      <w:r w:rsidRPr="00DA5C90">
        <w:rPr>
          <w:sz w:val="24"/>
          <w:szCs w:val="24"/>
        </w:rPr>
        <w:t xml:space="preserve"> (</w:t>
      </w:r>
      <w:r w:rsidRPr="00DA5C90">
        <w:rPr>
          <w:sz w:val="24"/>
          <w:szCs w:val="24"/>
        </w:rPr>
        <w:t>ART</w:t>
      </w:r>
      <w:r w:rsidRPr="00DA5C90">
        <w:rPr>
          <w:sz w:val="24"/>
          <w:szCs w:val="24"/>
        </w:rPr>
        <w:t>)</w:t>
      </w:r>
      <w:r w:rsidRPr="00DA5C90">
        <w:rPr>
          <w:sz w:val="24"/>
          <w:szCs w:val="24"/>
        </w:rPr>
        <w:t>.</w:t>
      </w:r>
    </w:p>
    <w:p w:rsidR="00DA5C90" w:rsidRDefault="00DA5C90" w:rsidP="00DA5C90">
      <w:pPr>
        <w:pStyle w:val="Corpodetexto"/>
        <w:rPr>
          <w:sz w:val="26"/>
        </w:rPr>
      </w:pPr>
    </w:p>
    <w:p w:rsidR="00DA5C90" w:rsidRDefault="00DA5C90" w:rsidP="00DA5C90">
      <w:pPr>
        <w:pStyle w:val="Corpodetexto"/>
        <w:rPr>
          <w:sz w:val="22"/>
        </w:rPr>
      </w:pPr>
    </w:p>
    <w:p w:rsidR="00DA5C90" w:rsidRDefault="00DA5C90" w:rsidP="00DA5C90">
      <w:pPr>
        <w:pStyle w:val="Corpodetexto"/>
        <w:ind w:right="635"/>
      </w:pPr>
      <w:r>
        <w:t>O teste de queima deve ser realizado com o a</w:t>
      </w:r>
      <w:r>
        <w:t>companhamento de técnicos do Instituto Águae Terra</w:t>
      </w:r>
      <w:r>
        <w:t>.</w:t>
      </w:r>
    </w:p>
    <w:p w:rsidR="00D84C2D" w:rsidRPr="00DA5C90" w:rsidRDefault="00D84C2D" w:rsidP="00DA5C90">
      <w:bookmarkStart w:id="0" w:name="_GoBack"/>
      <w:bookmarkEnd w:id="0"/>
    </w:p>
    <w:sectPr w:rsidR="00D84C2D" w:rsidRPr="00DA5C90" w:rsidSect="006951F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5F" w:rsidRDefault="00F2535F" w:rsidP="00786BE0">
      <w:r>
        <w:separator/>
      </w:r>
    </w:p>
  </w:endnote>
  <w:endnote w:type="continuationSeparator" w:id="0">
    <w:p w:rsidR="00F2535F" w:rsidRDefault="00F2535F" w:rsidP="0078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Pr="006951FE" w:rsidRDefault="00786BE0" w:rsidP="00FA3E78">
    <w:pPr>
      <w:pStyle w:val="Rodap"/>
      <w:ind w:left="-709"/>
      <w:rPr>
        <w:rFonts w:ascii="Gadugi" w:hAnsi="Gadugi"/>
        <w:sz w:val="18"/>
        <w:szCs w:val="18"/>
      </w:rPr>
    </w:pPr>
    <w:r w:rsidRPr="006951FE">
      <w:rPr>
        <w:rFonts w:ascii="Gadugi" w:hAnsi="Gadugi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238B402D" wp14:editId="3029B1E6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Rua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 xml:space="preserve">,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/>
        <w:color w:val="595959" w:themeColor="text1" w:themeTint="A6"/>
        <w:sz w:val="18"/>
        <w:szCs w:val="18"/>
      </w:rPr>
      <w:t>/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80</w:t>
    </w:r>
    <w:r w:rsidR="00FB0C1C">
      <w:rPr>
        <w:rFonts w:ascii="Gadugi" w:hAnsi="Gadugi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5F" w:rsidRDefault="00F2535F" w:rsidP="00786BE0">
      <w:r>
        <w:separator/>
      </w:r>
    </w:p>
  </w:footnote>
  <w:footnote w:type="continuationSeparator" w:id="0">
    <w:p w:rsidR="00F2535F" w:rsidRDefault="00F2535F" w:rsidP="00786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BE0" w:rsidRDefault="00D959E1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76FED226" wp14:editId="28D0EDEC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47B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081BC20" wp14:editId="4C1B018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2AC">
      <w:t xml:space="preserve">                                                     </w:t>
    </w:r>
  </w:p>
  <w:p w:rsidR="00BC343E" w:rsidRDefault="00BC343E" w:rsidP="00786BE0">
    <w:pPr>
      <w:pStyle w:val="Cabealho"/>
      <w:jc w:val="center"/>
    </w:pPr>
  </w:p>
  <w:p w:rsidR="00BC343E" w:rsidRDefault="00D959E1" w:rsidP="00D959E1">
    <w:pPr>
      <w:pStyle w:val="Cabealho"/>
      <w:tabs>
        <w:tab w:val="left" w:pos="7995"/>
      </w:tabs>
    </w:pPr>
    <w:r>
      <w:tab/>
    </w:r>
  </w:p>
  <w:p w:rsidR="00786BE0" w:rsidRDefault="004022AC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 w:rsidR="00A1547B">
      <w:tab/>
    </w:r>
    <w:r w:rsidR="00A1547B">
      <w:tab/>
    </w:r>
    <w:r>
      <w:tab/>
    </w:r>
  </w:p>
  <w:p w:rsidR="004022AC" w:rsidRPr="00FB0C1C" w:rsidRDefault="00A1547B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  <w:p w:rsidR="00A1547B" w:rsidRDefault="00A1547B" w:rsidP="004022AC">
    <w:pPr>
      <w:pStyle w:val="Cabealho"/>
      <w:tabs>
        <w:tab w:val="clear" w:pos="4252"/>
        <w:tab w:val="clear" w:pos="8504"/>
        <w:tab w:val="left" w:pos="5445"/>
      </w:tabs>
      <w:rPr>
        <w:noProof/>
        <w:lang w:eastAsia="pt-BR"/>
      </w:rPr>
    </w:pPr>
  </w:p>
  <w:p w:rsidR="004022AC" w:rsidRDefault="004022AC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E07BC"/>
    <w:multiLevelType w:val="hybridMultilevel"/>
    <w:tmpl w:val="D0A6EFFE"/>
    <w:lvl w:ilvl="0" w:tplc="66B0E526">
      <w:start w:val="1"/>
      <w:numFmt w:val="upperRoman"/>
      <w:lvlText w:val="%1."/>
      <w:lvlJc w:val="left"/>
      <w:pPr>
        <w:ind w:left="713" w:hanging="314"/>
        <w:jc w:val="right"/>
      </w:pPr>
      <w:rPr>
        <w:rFonts w:ascii="Arial" w:eastAsia="Arial" w:hAnsi="Arial" w:cs="Arial" w:hint="default"/>
        <w:spacing w:val="-1"/>
        <w:w w:val="100"/>
        <w:sz w:val="24"/>
        <w:szCs w:val="24"/>
        <w:lang w:val="pt-PT" w:eastAsia="pt-PT" w:bidi="pt-PT"/>
      </w:rPr>
    </w:lvl>
    <w:lvl w:ilvl="1" w:tplc="61B03548">
      <w:numFmt w:val="bullet"/>
      <w:lvlText w:val=""/>
      <w:lvlJc w:val="left"/>
      <w:pPr>
        <w:ind w:left="1433" w:hanging="193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2" w:tplc="605C2DEE">
      <w:numFmt w:val="bullet"/>
      <w:lvlText w:val="•"/>
      <w:lvlJc w:val="left"/>
      <w:pPr>
        <w:ind w:left="2440" w:hanging="193"/>
      </w:pPr>
      <w:rPr>
        <w:rFonts w:hint="default"/>
        <w:lang w:val="pt-PT" w:eastAsia="pt-PT" w:bidi="pt-PT"/>
      </w:rPr>
    </w:lvl>
    <w:lvl w:ilvl="3" w:tplc="75E8E808">
      <w:numFmt w:val="bullet"/>
      <w:lvlText w:val="•"/>
      <w:lvlJc w:val="left"/>
      <w:pPr>
        <w:ind w:left="3440" w:hanging="193"/>
      </w:pPr>
      <w:rPr>
        <w:rFonts w:hint="default"/>
        <w:lang w:val="pt-PT" w:eastAsia="pt-PT" w:bidi="pt-PT"/>
      </w:rPr>
    </w:lvl>
    <w:lvl w:ilvl="4" w:tplc="20B2B732">
      <w:numFmt w:val="bullet"/>
      <w:lvlText w:val="•"/>
      <w:lvlJc w:val="left"/>
      <w:pPr>
        <w:ind w:left="4441" w:hanging="193"/>
      </w:pPr>
      <w:rPr>
        <w:rFonts w:hint="default"/>
        <w:lang w:val="pt-PT" w:eastAsia="pt-PT" w:bidi="pt-PT"/>
      </w:rPr>
    </w:lvl>
    <w:lvl w:ilvl="5" w:tplc="8D9E5C9E">
      <w:numFmt w:val="bullet"/>
      <w:lvlText w:val="•"/>
      <w:lvlJc w:val="left"/>
      <w:pPr>
        <w:ind w:left="5441" w:hanging="193"/>
      </w:pPr>
      <w:rPr>
        <w:rFonts w:hint="default"/>
        <w:lang w:val="pt-PT" w:eastAsia="pt-PT" w:bidi="pt-PT"/>
      </w:rPr>
    </w:lvl>
    <w:lvl w:ilvl="6" w:tplc="7206C6EC">
      <w:numFmt w:val="bullet"/>
      <w:lvlText w:val="•"/>
      <w:lvlJc w:val="left"/>
      <w:pPr>
        <w:ind w:left="6442" w:hanging="193"/>
      </w:pPr>
      <w:rPr>
        <w:rFonts w:hint="default"/>
        <w:lang w:val="pt-PT" w:eastAsia="pt-PT" w:bidi="pt-PT"/>
      </w:rPr>
    </w:lvl>
    <w:lvl w:ilvl="7" w:tplc="C3D67E30">
      <w:numFmt w:val="bullet"/>
      <w:lvlText w:val="•"/>
      <w:lvlJc w:val="left"/>
      <w:pPr>
        <w:ind w:left="7442" w:hanging="193"/>
      </w:pPr>
      <w:rPr>
        <w:rFonts w:hint="default"/>
        <w:lang w:val="pt-PT" w:eastAsia="pt-PT" w:bidi="pt-PT"/>
      </w:rPr>
    </w:lvl>
    <w:lvl w:ilvl="8" w:tplc="7166C8B6">
      <w:numFmt w:val="bullet"/>
      <w:lvlText w:val="•"/>
      <w:lvlJc w:val="left"/>
      <w:pPr>
        <w:ind w:left="8443" w:hanging="193"/>
      </w:pPr>
      <w:rPr>
        <w:rFonts w:hint="default"/>
        <w:lang w:val="pt-PT" w:eastAsia="pt-PT" w:bidi="pt-PT"/>
      </w:rPr>
    </w:lvl>
  </w:abstractNum>
  <w:abstractNum w:abstractNumId="2" w15:restartNumberingAfterBreak="0">
    <w:nsid w:val="7C4E167B"/>
    <w:multiLevelType w:val="hybridMultilevel"/>
    <w:tmpl w:val="42D8A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E0"/>
    <w:rsid w:val="001511C9"/>
    <w:rsid w:val="00355187"/>
    <w:rsid w:val="003F7E88"/>
    <w:rsid w:val="00400C1A"/>
    <w:rsid w:val="004022AC"/>
    <w:rsid w:val="00474A95"/>
    <w:rsid w:val="006951FE"/>
    <w:rsid w:val="00786BE0"/>
    <w:rsid w:val="009C7F96"/>
    <w:rsid w:val="00A1547B"/>
    <w:rsid w:val="00AC1A88"/>
    <w:rsid w:val="00BC343E"/>
    <w:rsid w:val="00D50FBD"/>
    <w:rsid w:val="00D819D5"/>
    <w:rsid w:val="00D84C2D"/>
    <w:rsid w:val="00D959E1"/>
    <w:rsid w:val="00DA5C90"/>
    <w:rsid w:val="00DF786C"/>
    <w:rsid w:val="00F2535F"/>
    <w:rsid w:val="00FA3E78"/>
    <w:rsid w:val="00FB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5E6FB"/>
  <w15:chartTrackingRefBased/>
  <w15:docId w15:val="{E78B3A82-C5AC-4706-8F47-741456CF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5C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1"/>
    <w:qFormat/>
    <w:rsid w:val="00DA5C90"/>
    <w:pPr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5C90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DA5C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Iachecen</dc:creator>
  <cp:keywords/>
  <dc:description/>
  <cp:lastModifiedBy>Daniele Iachecen</cp:lastModifiedBy>
  <cp:revision>12</cp:revision>
  <cp:lastPrinted>2019-12-03T19:29:00Z</cp:lastPrinted>
  <dcterms:created xsi:type="dcterms:W3CDTF">2019-05-22T13:17:00Z</dcterms:created>
  <dcterms:modified xsi:type="dcterms:W3CDTF">2020-05-26T14:09:00Z</dcterms:modified>
</cp:coreProperties>
</file>